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4C" w:rsidRDefault="00E2626F" w:rsidP="0001434C">
      <w:pPr>
        <w:pStyle w:val="Cabealho"/>
        <w:jc w:val="center"/>
      </w:pPr>
      <w:r>
        <w:rPr>
          <w:noProof/>
        </w:rPr>
        <w:drawing>
          <wp:inline distT="0" distB="0" distL="0" distR="0">
            <wp:extent cx="3578225" cy="29978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34C" w:rsidRPr="0001434C" w:rsidRDefault="0001434C" w:rsidP="0001434C">
      <w:pPr>
        <w:pStyle w:val="Cabealho"/>
        <w:spacing w:before="0" w:beforeAutospacing="0"/>
        <w:jc w:val="center"/>
        <w:rPr>
          <w:sz w:val="32"/>
          <w:szCs w:val="32"/>
        </w:rPr>
      </w:pPr>
      <w:r w:rsidRPr="0001434C">
        <w:rPr>
          <w:sz w:val="32"/>
          <w:szCs w:val="32"/>
        </w:rPr>
        <w:t>Departamento de Estradas de Rodagem</w:t>
      </w:r>
    </w:p>
    <w:p w:rsidR="0001434C" w:rsidRPr="0001434C" w:rsidRDefault="0001434C" w:rsidP="0001434C">
      <w:pPr>
        <w:pStyle w:val="Cabealho"/>
        <w:spacing w:before="0" w:beforeAutospacing="0"/>
        <w:jc w:val="center"/>
        <w:rPr>
          <w:sz w:val="32"/>
          <w:szCs w:val="32"/>
        </w:rPr>
      </w:pPr>
      <w:proofErr w:type="gramStart"/>
      <w:r w:rsidRPr="0001434C">
        <w:rPr>
          <w:sz w:val="32"/>
          <w:szCs w:val="32"/>
        </w:rPr>
        <w:t>do</w:t>
      </w:r>
      <w:proofErr w:type="gramEnd"/>
      <w:r w:rsidRPr="0001434C">
        <w:rPr>
          <w:sz w:val="32"/>
          <w:szCs w:val="32"/>
        </w:rPr>
        <w:t xml:space="preserve"> Estado do Espírito Santo</w:t>
      </w:r>
    </w:p>
    <w:p w:rsidR="0001434C" w:rsidRPr="0001434C" w:rsidRDefault="0001434C" w:rsidP="0068273C">
      <w:pPr>
        <w:jc w:val="both"/>
        <w:rPr>
          <w:sz w:val="32"/>
          <w:szCs w:val="32"/>
        </w:rPr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220A82" w:rsidRDefault="00220A82" w:rsidP="0068273C">
      <w:pPr>
        <w:jc w:val="both"/>
      </w:pPr>
    </w:p>
    <w:p w:rsidR="00B44657" w:rsidRPr="002E745F" w:rsidRDefault="00663586" w:rsidP="00220A82">
      <w:pPr>
        <w:spacing w:before="120" w:after="120" w:line="360" w:lineRule="auto"/>
        <w:jc w:val="center"/>
        <w:rPr>
          <w:rFonts w:ascii="Latha" w:hAnsi="Latha"/>
          <w:b/>
          <w:sz w:val="52"/>
          <w:szCs w:val="52"/>
        </w:rPr>
      </w:pPr>
      <w:r w:rsidRPr="002E745F">
        <w:rPr>
          <w:rFonts w:ascii="Latha" w:hAnsi="Latha"/>
          <w:b/>
          <w:sz w:val="52"/>
          <w:szCs w:val="52"/>
        </w:rPr>
        <w:t>REFERENCIAL DE PREÇOS DE SERVIÇOS RODOVIÁRIOS</w:t>
      </w:r>
      <w:r w:rsidR="00B44657">
        <w:rPr>
          <w:rFonts w:ascii="Latha" w:hAnsi="Latha"/>
          <w:b/>
          <w:sz w:val="52"/>
          <w:szCs w:val="52"/>
        </w:rPr>
        <w:t xml:space="preserve"> </w:t>
      </w:r>
    </w:p>
    <w:p w:rsidR="00220A82" w:rsidRDefault="00220A82" w:rsidP="0001434C">
      <w:pPr>
        <w:jc w:val="center"/>
        <w:rPr>
          <w:rFonts w:ascii="Latha" w:hAnsi="Latha"/>
          <w:b/>
          <w:sz w:val="52"/>
          <w:szCs w:val="52"/>
        </w:rPr>
      </w:pPr>
    </w:p>
    <w:p w:rsidR="00220A82" w:rsidRDefault="00220A82" w:rsidP="0001434C">
      <w:pPr>
        <w:jc w:val="center"/>
        <w:rPr>
          <w:rFonts w:ascii="Latha" w:hAnsi="Latha"/>
          <w:b/>
          <w:sz w:val="52"/>
          <w:szCs w:val="52"/>
        </w:rPr>
      </w:pPr>
    </w:p>
    <w:p w:rsidR="00220A82" w:rsidRDefault="00220A82" w:rsidP="0001434C">
      <w:pPr>
        <w:jc w:val="center"/>
        <w:rPr>
          <w:rFonts w:ascii="Latha" w:hAnsi="Latha"/>
          <w:b/>
          <w:sz w:val="52"/>
          <w:szCs w:val="52"/>
        </w:rPr>
      </w:pPr>
    </w:p>
    <w:p w:rsidR="00663586" w:rsidRPr="000419C8" w:rsidRDefault="00E10FDC" w:rsidP="0001434C">
      <w:pPr>
        <w:jc w:val="center"/>
        <w:rPr>
          <w:rFonts w:ascii="Latha" w:hAnsi="Latha"/>
          <w:b/>
          <w:sz w:val="52"/>
          <w:szCs w:val="52"/>
        </w:rPr>
      </w:pPr>
      <w:r>
        <w:rPr>
          <w:rFonts w:ascii="Latha" w:hAnsi="Latha"/>
          <w:b/>
          <w:sz w:val="52"/>
          <w:szCs w:val="52"/>
        </w:rPr>
        <w:t xml:space="preserve">Outubro </w:t>
      </w:r>
      <w:r w:rsidR="00663586" w:rsidRPr="000419C8">
        <w:rPr>
          <w:rFonts w:ascii="Latha" w:hAnsi="Latha"/>
          <w:b/>
          <w:sz w:val="52"/>
          <w:szCs w:val="52"/>
        </w:rPr>
        <w:t>20</w:t>
      </w:r>
      <w:r w:rsidR="00A00494">
        <w:rPr>
          <w:rFonts w:ascii="Latha" w:hAnsi="Latha"/>
          <w:b/>
          <w:sz w:val="52"/>
          <w:szCs w:val="52"/>
        </w:rPr>
        <w:t>1</w:t>
      </w:r>
      <w:r w:rsidR="00805018">
        <w:rPr>
          <w:rFonts w:ascii="Latha" w:hAnsi="Latha"/>
          <w:b/>
          <w:sz w:val="52"/>
          <w:szCs w:val="52"/>
        </w:rPr>
        <w:t>8</w:t>
      </w:r>
      <w:r w:rsidR="00A00494">
        <w:rPr>
          <w:rFonts w:ascii="Latha" w:hAnsi="Latha"/>
          <w:b/>
          <w:sz w:val="52"/>
          <w:szCs w:val="52"/>
        </w:rPr>
        <w:t xml:space="preserve"> </w:t>
      </w:r>
      <w:r w:rsidR="00776A84">
        <w:rPr>
          <w:rFonts w:ascii="Latha" w:hAnsi="Latha"/>
          <w:b/>
          <w:sz w:val="52"/>
          <w:szCs w:val="52"/>
        </w:rPr>
        <w:t>sem</w:t>
      </w:r>
      <w:r w:rsidR="00EB2240">
        <w:rPr>
          <w:rFonts w:ascii="Latha" w:hAnsi="Latha"/>
          <w:b/>
          <w:sz w:val="52"/>
          <w:szCs w:val="52"/>
        </w:rPr>
        <w:t xml:space="preserve"> d</w:t>
      </w:r>
      <w:r w:rsidR="00A00494">
        <w:rPr>
          <w:rFonts w:ascii="Latha" w:hAnsi="Latha"/>
          <w:b/>
          <w:sz w:val="52"/>
          <w:szCs w:val="52"/>
        </w:rPr>
        <w:t>esoneração</w:t>
      </w:r>
    </w:p>
    <w:p w:rsidR="00663586" w:rsidRPr="0001434C" w:rsidRDefault="00663586" w:rsidP="0068273C">
      <w:pPr>
        <w:jc w:val="both"/>
        <w:rPr>
          <w:rFonts w:ascii="Bookman Old Style" w:hAnsi="Bookman Old Style"/>
        </w:rPr>
      </w:pPr>
    </w:p>
    <w:p w:rsidR="0001434C" w:rsidRPr="0001434C" w:rsidRDefault="0001434C" w:rsidP="0068273C">
      <w:pPr>
        <w:jc w:val="both"/>
        <w:rPr>
          <w:rFonts w:ascii="Bookman Old Style" w:hAnsi="Bookman Old Style"/>
        </w:rPr>
      </w:pPr>
    </w:p>
    <w:p w:rsidR="00663586" w:rsidRPr="00E4755E" w:rsidRDefault="00713051" w:rsidP="000419C8">
      <w:pPr>
        <w:spacing w:line="360" w:lineRule="auto"/>
        <w:jc w:val="center"/>
        <w:rPr>
          <w:rFonts w:ascii="Arial" w:hAnsi="Arial" w:cs="Arial"/>
          <w:b/>
        </w:rPr>
      </w:pPr>
      <w:r w:rsidRPr="00E4755E">
        <w:rPr>
          <w:rFonts w:ascii="Arial" w:hAnsi="Arial" w:cs="Arial"/>
          <w:b/>
        </w:rPr>
        <w:t>NOTA TÉCNICA INFORMATIVA</w:t>
      </w:r>
    </w:p>
    <w:p w:rsidR="003E5480" w:rsidRPr="00E4755E" w:rsidRDefault="003E5480" w:rsidP="000419C8">
      <w:pPr>
        <w:spacing w:line="360" w:lineRule="auto"/>
        <w:jc w:val="center"/>
        <w:rPr>
          <w:rFonts w:ascii="Arial" w:hAnsi="Arial" w:cs="Arial"/>
          <w:b/>
        </w:rPr>
      </w:pPr>
    </w:p>
    <w:p w:rsidR="004778E3" w:rsidRPr="003435CA" w:rsidRDefault="00663586" w:rsidP="007B7327">
      <w:pPr>
        <w:numPr>
          <w:ilvl w:val="0"/>
          <w:numId w:val="1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35CA">
        <w:rPr>
          <w:rFonts w:ascii="Arial" w:hAnsi="Arial" w:cs="Arial"/>
          <w:sz w:val="22"/>
          <w:szCs w:val="22"/>
        </w:rPr>
        <w:lastRenderedPageBreak/>
        <w:t xml:space="preserve">A </w:t>
      </w:r>
      <w:r w:rsidR="0007096A" w:rsidRPr="003435CA">
        <w:rPr>
          <w:rFonts w:ascii="Arial" w:hAnsi="Arial" w:cs="Arial"/>
          <w:sz w:val="22"/>
          <w:szCs w:val="22"/>
        </w:rPr>
        <w:t>Tabela é referencial de preços</w:t>
      </w:r>
      <w:r w:rsidR="004778E3" w:rsidRPr="003435CA">
        <w:rPr>
          <w:rFonts w:ascii="Arial" w:hAnsi="Arial" w:cs="Arial"/>
          <w:sz w:val="22"/>
          <w:szCs w:val="22"/>
        </w:rPr>
        <w:t xml:space="preserve"> para elaboração de orçamentos de serviços rodoviários</w:t>
      </w:r>
      <w:r w:rsidR="008B2278" w:rsidRPr="003435CA">
        <w:rPr>
          <w:rFonts w:ascii="Arial" w:hAnsi="Arial" w:cs="Arial"/>
          <w:sz w:val="22"/>
          <w:szCs w:val="22"/>
        </w:rPr>
        <w:t xml:space="preserve"> sem desoneração</w:t>
      </w:r>
      <w:r w:rsidR="003435CA" w:rsidRPr="003435CA">
        <w:rPr>
          <w:rFonts w:ascii="Arial" w:hAnsi="Arial" w:cs="Arial"/>
          <w:sz w:val="22"/>
          <w:szCs w:val="22"/>
        </w:rPr>
        <w:t>, facultado pela Resolução da Secretaria de Estado dos Transportes e Obras Públicas – SETOP – N.°01/2016, com os índices de BDI e Leis Sociais e Complementares calculados pela Equipe d</w:t>
      </w:r>
      <w:r w:rsidR="004A7B7F">
        <w:rPr>
          <w:rFonts w:ascii="Arial" w:hAnsi="Arial" w:cs="Arial"/>
          <w:sz w:val="22"/>
          <w:szCs w:val="22"/>
        </w:rPr>
        <w:t>e Custos e Orçamentos do DER-ES</w:t>
      </w:r>
      <w:r w:rsidR="0080408B">
        <w:rPr>
          <w:rFonts w:ascii="Arial" w:hAnsi="Arial" w:cs="Arial"/>
          <w:sz w:val="22"/>
          <w:szCs w:val="22"/>
        </w:rPr>
        <w:t xml:space="preserve"> (DPPC)</w:t>
      </w:r>
      <w:r w:rsidR="004A7B7F">
        <w:rPr>
          <w:rFonts w:ascii="Arial" w:hAnsi="Arial" w:cs="Arial"/>
          <w:sz w:val="22"/>
          <w:szCs w:val="22"/>
        </w:rPr>
        <w:t>.</w:t>
      </w:r>
    </w:p>
    <w:p w:rsidR="00242ED4" w:rsidRDefault="004778E3" w:rsidP="00242ED4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0408B">
        <w:rPr>
          <w:rFonts w:ascii="Arial" w:hAnsi="Arial" w:cs="Arial"/>
          <w:sz w:val="22"/>
          <w:szCs w:val="22"/>
        </w:rPr>
        <w:t xml:space="preserve">A pesquisa de preços dos insumos usados nas composições dos preços referenciais foi realizada </w:t>
      </w:r>
      <w:r w:rsidR="00FA3569" w:rsidRPr="0080408B">
        <w:rPr>
          <w:rFonts w:ascii="Arial" w:hAnsi="Arial" w:cs="Arial"/>
          <w:sz w:val="22"/>
          <w:szCs w:val="22"/>
        </w:rPr>
        <w:t>pela</w:t>
      </w:r>
      <w:r w:rsidR="0080408B">
        <w:rPr>
          <w:rFonts w:ascii="Arial" w:hAnsi="Arial" w:cs="Arial"/>
          <w:sz w:val="22"/>
          <w:szCs w:val="22"/>
        </w:rPr>
        <w:t xml:space="preserve"> Equipe de Custos e Orçamentos</w:t>
      </w:r>
      <w:r w:rsidR="00FA3569" w:rsidRPr="0080408B">
        <w:rPr>
          <w:rFonts w:ascii="Arial" w:hAnsi="Arial" w:cs="Arial"/>
          <w:sz w:val="22"/>
          <w:szCs w:val="22"/>
        </w:rPr>
        <w:t xml:space="preserve">, </w:t>
      </w:r>
      <w:r w:rsidRPr="0080408B">
        <w:rPr>
          <w:rFonts w:ascii="Arial" w:hAnsi="Arial" w:cs="Arial"/>
          <w:sz w:val="22"/>
          <w:szCs w:val="22"/>
        </w:rPr>
        <w:t xml:space="preserve">no mercado da </w:t>
      </w:r>
      <w:r w:rsidR="00FA3569" w:rsidRPr="0080408B">
        <w:rPr>
          <w:rFonts w:ascii="Arial" w:hAnsi="Arial" w:cs="Arial"/>
          <w:sz w:val="22"/>
          <w:szCs w:val="22"/>
        </w:rPr>
        <w:t xml:space="preserve">Grande Vitória </w:t>
      </w:r>
      <w:r w:rsidRPr="0080408B">
        <w:rPr>
          <w:rFonts w:ascii="Arial" w:hAnsi="Arial" w:cs="Arial"/>
          <w:sz w:val="22"/>
          <w:szCs w:val="22"/>
        </w:rPr>
        <w:t>-</w:t>
      </w:r>
      <w:r w:rsidR="00FA3569" w:rsidRPr="0080408B">
        <w:rPr>
          <w:rFonts w:ascii="Arial" w:hAnsi="Arial" w:cs="Arial"/>
          <w:sz w:val="22"/>
          <w:szCs w:val="22"/>
        </w:rPr>
        <w:t xml:space="preserve"> </w:t>
      </w:r>
      <w:r w:rsidRPr="0080408B">
        <w:rPr>
          <w:rFonts w:ascii="Arial" w:hAnsi="Arial" w:cs="Arial"/>
          <w:sz w:val="22"/>
          <w:szCs w:val="22"/>
        </w:rPr>
        <w:t>ES ou posto em Vitória-ES</w:t>
      </w:r>
      <w:r w:rsidR="00242ED4">
        <w:rPr>
          <w:rFonts w:ascii="Arial" w:hAnsi="Arial" w:cs="Arial"/>
          <w:sz w:val="22"/>
          <w:szCs w:val="22"/>
        </w:rPr>
        <w:t>, bem como nas</w:t>
      </w:r>
      <w:r w:rsidR="00242ED4" w:rsidRPr="0080408B">
        <w:rPr>
          <w:rFonts w:ascii="Arial" w:hAnsi="Arial" w:cs="Arial"/>
          <w:sz w:val="22"/>
          <w:szCs w:val="22"/>
        </w:rPr>
        <w:t xml:space="preserve"> tabelas de referência de outros órgãos ou entidades da administração pública federal, estadual (SINAPI, SICRO e/ou IOPES)</w:t>
      </w:r>
      <w:r w:rsidR="00242ED4">
        <w:rPr>
          <w:rFonts w:ascii="Arial" w:hAnsi="Arial" w:cs="Arial"/>
          <w:sz w:val="22"/>
          <w:szCs w:val="22"/>
        </w:rPr>
        <w:t>.</w:t>
      </w:r>
    </w:p>
    <w:p w:rsidR="006C6FDD" w:rsidRDefault="00FA3569" w:rsidP="0080408B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0408B">
        <w:rPr>
          <w:rFonts w:ascii="Arial" w:hAnsi="Arial" w:cs="Arial"/>
          <w:sz w:val="22"/>
          <w:szCs w:val="22"/>
        </w:rPr>
        <w:t>Os preços obtidos através de coletas de preços de cada insumo</w:t>
      </w:r>
      <w:r w:rsidR="001620DA">
        <w:rPr>
          <w:rFonts w:ascii="Arial" w:hAnsi="Arial" w:cs="Arial"/>
          <w:sz w:val="22"/>
          <w:szCs w:val="22"/>
        </w:rPr>
        <w:t xml:space="preserve"> junto a</w:t>
      </w:r>
      <w:r w:rsidR="00242ED4">
        <w:rPr>
          <w:rFonts w:ascii="Arial" w:hAnsi="Arial" w:cs="Arial"/>
          <w:sz w:val="22"/>
          <w:szCs w:val="22"/>
        </w:rPr>
        <w:t>s empresas</w:t>
      </w:r>
      <w:r w:rsidR="001620DA">
        <w:rPr>
          <w:rFonts w:ascii="Arial" w:hAnsi="Arial" w:cs="Arial"/>
          <w:sz w:val="22"/>
          <w:szCs w:val="22"/>
        </w:rPr>
        <w:t xml:space="preserve"> são</w:t>
      </w:r>
      <w:r w:rsidRPr="0080408B">
        <w:rPr>
          <w:rFonts w:ascii="Arial" w:hAnsi="Arial" w:cs="Arial"/>
          <w:sz w:val="22"/>
          <w:szCs w:val="22"/>
        </w:rPr>
        <w:t xml:space="preserve"> digitalizados e analisados </w:t>
      </w:r>
      <w:r w:rsidR="0080408B">
        <w:rPr>
          <w:rFonts w:ascii="Arial" w:hAnsi="Arial" w:cs="Arial"/>
          <w:sz w:val="22"/>
          <w:szCs w:val="22"/>
        </w:rPr>
        <w:t>no mapa de coleta, procurando</w:t>
      </w:r>
      <w:r w:rsidRPr="0080408B">
        <w:rPr>
          <w:rFonts w:ascii="Arial" w:hAnsi="Arial" w:cs="Arial"/>
          <w:sz w:val="22"/>
          <w:szCs w:val="22"/>
        </w:rPr>
        <w:t xml:space="preserve"> detectar erros eventuais de coleta ou de informação (análise de consistência). </w:t>
      </w:r>
    </w:p>
    <w:p w:rsidR="0080408B" w:rsidRDefault="006C6FDD" w:rsidP="0080408B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A3569" w:rsidRPr="0080408B">
        <w:rPr>
          <w:rFonts w:ascii="Arial" w:hAnsi="Arial" w:cs="Arial"/>
          <w:sz w:val="22"/>
          <w:szCs w:val="22"/>
        </w:rPr>
        <w:t xml:space="preserve">pós </w:t>
      </w:r>
      <w:r>
        <w:rPr>
          <w:rFonts w:ascii="Arial" w:hAnsi="Arial" w:cs="Arial"/>
          <w:sz w:val="22"/>
          <w:szCs w:val="22"/>
        </w:rPr>
        <w:t xml:space="preserve">a </w:t>
      </w:r>
      <w:r w:rsidR="00FA3569" w:rsidRPr="0080408B">
        <w:rPr>
          <w:rFonts w:ascii="Arial" w:hAnsi="Arial" w:cs="Arial"/>
          <w:sz w:val="22"/>
          <w:szCs w:val="22"/>
        </w:rPr>
        <w:t xml:space="preserve">análise </w:t>
      </w:r>
      <w:r>
        <w:rPr>
          <w:rFonts w:ascii="Arial" w:hAnsi="Arial" w:cs="Arial"/>
          <w:sz w:val="22"/>
          <w:szCs w:val="22"/>
        </w:rPr>
        <w:t xml:space="preserve">de consistência, </w:t>
      </w:r>
      <w:r w:rsidR="00FA3569" w:rsidRPr="0080408B">
        <w:rPr>
          <w:rFonts w:ascii="Arial" w:hAnsi="Arial" w:cs="Arial"/>
          <w:sz w:val="22"/>
          <w:szCs w:val="22"/>
        </w:rPr>
        <w:t>os dados são processados p</w:t>
      </w:r>
      <w:r w:rsidR="0080408B">
        <w:rPr>
          <w:rFonts w:ascii="Arial" w:hAnsi="Arial" w:cs="Arial"/>
          <w:sz w:val="22"/>
          <w:szCs w:val="22"/>
        </w:rPr>
        <w:t>ara o cálculo de preços médios</w:t>
      </w:r>
      <w:r w:rsidR="004A7B7F" w:rsidRPr="0080408B">
        <w:rPr>
          <w:rFonts w:ascii="Arial" w:hAnsi="Arial" w:cs="Arial"/>
          <w:sz w:val="22"/>
          <w:szCs w:val="22"/>
        </w:rPr>
        <w:t>.</w:t>
      </w:r>
    </w:p>
    <w:p w:rsidR="00F0470B" w:rsidRPr="00E4755E" w:rsidRDefault="000C508C" w:rsidP="004778E3">
      <w:pPr>
        <w:numPr>
          <w:ilvl w:val="0"/>
          <w:numId w:val="1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 xml:space="preserve">Os </w:t>
      </w:r>
      <w:r w:rsidR="00F0470B" w:rsidRPr="00E4755E">
        <w:rPr>
          <w:rFonts w:ascii="Arial" w:hAnsi="Arial" w:cs="Arial"/>
          <w:sz w:val="22"/>
          <w:szCs w:val="22"/>
        </w:rPr>
        <w:t xml:space="preserve">valores de mão de obra são </w:t>
      </w:r>
      <w:r w:rsidRPr="00E4755E">
        <w:rPr>
          <w:rFonts w:ascii="Arial" w:hAnsi="Arial" w:cs="Arial"/>
          <w:sz w:val="22"/>
          <w:szCs w:val="22"/>
        </w:rPr>
        <w:t>os constantes</w:t>
      </w:r>
      <w:r w:rsidR="009167BF" w:rsidRPr="00E4755E">
        <w:rPr>
          <w:rFonts w:ascii="Arial" w:hAnsi="Arial" w:cs="Arial"/>
          <w:sz w:val="22"/>
          <w:szCs w:val="22"/>
        </w:rPr>
        <w:t xml:space="preserve"> do </w:t>
      </w:r>
      <w:r w:rsidR="00F0470B" w:rsidRPr="00E4755E">
        <w:rPr>
          <w:rFonts w:ascii="Arial" w:hAnsi="Arial" w:cs="Arial"/>
          <w:sz w:val="22"/>
          <w:szCs w:val="22"/>
        </w:rPr>
        <w:t>A</w:t>
      </w:r>
      <w:r w:rsidR="009167BF" w:rsidRPr="00E4755E">
        <w:rPr>
          <w:rFonts w:ascii="Arial" w:hAnsi="Arial" w:cs="Arial"/>
          <w:sz w:val="22"/>
          <w:szCs w:val="22"/>
        </w:rPr>
        <w:t xml:space="preserve">cordo </w:t>
      </w:r>
      <w:r w:rsidR="00F0470B" w:rsidRPr="00E4755E">
        <w:rPr>
          <w:rFonts w:ascii="Arial" w:hAnsi="Arial" w:cs="Arial"/>
          <w:sz w:val="22"/>
          <w:szCs w:val="22"/>
        </w:rPr>
        <w:t>C</w:t>
      </w:r>
      <w:r w:rsidR="009167BF" w:rsidRPr="00E4755E">
        <w:rPr>
          <w:rFonts w:ascii="Arial" w:hAnsi="Arial" w:cs="Arial"/>
          <w:sz w:val="22"/>
          <w:szCs w:val="22"/>
        </w:rPr>
        <w:t>oletivo</w:t>
      </w:r>
      <w:r w:rsidR="00F0470B" w:rsidRPr="00E4755E">
        <w:rPr>
          <w:rFonts w:ascii="Arial" w:hAnsi="Arial" w:cs="Arial"/>
          <w:sz w:val="22"/>
          <w:szCs w:val="22"/>
        </w:rPr>
        <w:t xml:space="preserve"> de Trabalho 201</w:t>
      </w:r>
      <w:r w:rsidR="007A347F">
        <w:rPr>
          <w:rFonts w:ascii="Arial" w:hAnsi="Arial" w:cs="Arial"/>
          <w:sz w:val="22"/>
          <w:szCs w:val="22"/>
        </w:rPr>
        <w:t>8</w:t>
      </w:r>
      <w:r w:rsidR="00F0470B" w:rsidRPr="00E4755E">
        <w:rPr>
          <w:rFonts w:ascii="Arial" w:hAnsi="Arial" w:cs="Arial"/>
          <w:sz w:val="22"/>
          <w:szCs w:val="22"/>
        </w:rPr>
        <w:t>/20</w:t>
      </w:r>
      <w:r w:rsidR="007A347F">
        <w:rPr>
          <w:rFonts w:ascii="Arial" w:hAnsi="Arial" w:cs="Arial"/>
          <w:sz w:val="22"/>
          <w:szCs w:val="22"/>
        </w:rPr>
        <w:t>20</w:t>
      </w:r>
      <w:r w:rsidR="00F0470B" w:rsidRPr="00E4755E">
        <w:rPr>
          <w:rFonts w:ascii="Arial" w:hAnsi="Arial" w:cs="Arial"/>
          <w:sz w:val="22"/>
          <w:szCs w:val="22"/>
        </w:rPr>
        <w:t xml:space="preserve"> entre o  Sindicato</w:t>
      </w:r>
      <w:r w:rsidR="00DC325A" w:rsidRPr="00E4755E">
        <w:rPr>
          <w:rFonts w:ascii="Arial" w:hAnsi="Arial" w:cs="Arial"/>
          <w:sz w:val="22"/>
          <w:szCs w:val="22"/>
        </w:rPr>
        <w:t xml:space="preserve"> da Indústria da Construção Pesada no Estado do Espirito Santo - SINDICOPES e a  Federação dos Trabalhadores nas Indústrias da Construção Civil, Montagem, Terraplenagem, Pavimentação, Cal, Gesso, Indústria e Artefato de Cimento, Cerâmica, Ladrilho, Argila, Madeira, Mobiliário, Calcário de Rochas, Mármore e Granito </w:t>
      </w:r>
      <w:r w:rsidR="00AE0116" w:rsidRPr="00E4755E">
        <w:rPr>
          <w:rFonts w:ascii="Arial" w:hAnsi="Arial" w:cs="Arial"/>
          <w:sz w:val="22"/>
          <w:szCs w:val="22"/>
        </w:rPr>
        <w:t>do Estado do Espírito Santo –</w:t>
      </w:r>
      <w:r w:rsidR="00DC325A" w:rsidRPr="00E4755E">
        <w:rPr>
          <w:rFonts w:ascii="Arial" w:hAnsi="Arial" w:cs="Arial"/>
          <w:sz w:val="22"/>
          <w:szCs w:val="22"/>
        </w:rPr>
        <w:t xml:space="preserve"> </w:t>
      </w:r>
      <w:r w:rsidR="00F0470B" w:rsidRPr="00E4755E">
        <w:rPr>
          <w:rFonts w:ascii="Arial" w:hAnsi="Arial" w:cs="Arial"/>
          <w:sz w:val="22"/>
          <w:szCs w:val="22"/>
        </w:rPr>
        <w:t>FETRACONMAG</w:t>
      </w:r>
      <w:r w:rsidR="00AE0116" w:rsidRPr="00E4755E">
        <w:rPr>
          <w:rFonts w:ascii="Arial" w:hAnsi="Arial" w:cs="Arial"/>
          <w:sz w:val="22"/>
          <w:szCs w:val="22"/>
        </w:rPr>
        <w:t>/ES</w:t>
      </w:r>
      <w:r w:rsidR="009167BF" w:rsidRPr="00E4755E">
        <w:rPr>
          <w:rFonts w:ascii="Arial" w:hAnsi="Arial" w:cs="Arial"/>
          <w:sz w:val="22"/>
          <w:szCs w:val="22"/>
        </w:rPr>
        <w:t xml:space="preserve"> </w:t>
      </w:r>
      <w:r w:rsidR="00F0470B" w:rsidRPr="00E4755E">
        <w:rPr>
          <w:rFonts w:ascii="Arial" w:hAnsi="Arial" w:cs="Arial"/>
          <w:sz w:val="22"/>
          <w:szCs w:val="22"/>
        </w:rPr>
        <w:t xml:space="preserve">de acordo com o piso salarial de cada cargo/ função. </w:t>
      </w:r>
    </w:p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694"/>
      </w:tblGrid>
      <w:tr w:rsidR="003038CB" w:rsidRPr="00E4755E" w:rsidTr="00242ED4">
        <w:trPr>
          <w:trHeight w:val="450"/>
          <w:tblHeader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55E">
              <w:rPr>
                <w:rFonts w:ascii="Arial" w:hAnsi="Arial" w:cs="Arial"/>
                <w:b/>
                <w:bCs/>
                <w:sz w:val="22"/>
                <w:szCs w:val="22"/>
              </w:rPr>
              <w:t>CARGO/FUNÇÃO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8854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OUT</w:t>
            </w:r>
            <w:r w:rsidR="00CD6C44">
              <w:rPr>
                <w:rFonts w:ascii="Arial" w:hAnsi="Arial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Operador de Máquina Pesada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CD6C44" w:rsidRPr="006C77C5">
              <w:rPr>
                <w:rFonts w:ascii="Arial" w:hAnsi="Arial" w:cs="Arial"/>
                <w:sz w:val="22"/>
                <w:szCs w:val="22"/>
              </w:rPr>
              <w:t>1.</w:t>
            </w:r>
            <w:r w:rsidR="007A347F">
              <w:rPr>
                <w:rFonts w:ascii="Arial" w:hAnsi="Arial" w:cs="Arial"/>
                <w:sz w:val="22"/>
                <w:szCs w:val="22"/>
              </w:rPr>
              <w:t>548,82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Operador de Máquina Pesada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7A347F">
              <w:rPr>
                <w:rFonts w:ascii="Arial" w:hAnsi="Arial" w:cs="Arial"/>
                <w:sz w:val="22"/>
                <w:szCs w:val="22"/>
              </w:rPr>
              <w:t>643,31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7A347F">
              <w:rPr>
                <w:rFonts w:ascii="Arial" w:hAnsi="Arial" w:cs="Arial"/>
                <w:sz w:val="22"/>
                <w:szCs w:val="22"/>
              </w:rPr>
              <w:t>233,50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7A347F">
              <w:rPr>
                <w:rFonts w:ascii="Arial" w:hAnsi="Arial" w:cs="Arial"/>
                <w:sz w:val="22"/>
                <w:szCs w:val="22"/>
              </w:rPr>
              <w:t>643,31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7A347F">
              <w:rPr>
                <w:rFonts w:ascii="Arial" w:hAnsi="Arial" w:cs="Arial"/>
                <w:sz w:val="22"/>
                <w:szCs w:val="22"/>
              </w:rPr>
              <w:t>957,11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Encarregado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355BF4">
              <w:rPr>
                <w:rFonts w:ascii="Arial" w:hAnsi="Arial" w:cs="Arial"/>
                <w:sz w:val="22"/>
                <w:szCs w:val="22"/>
              </w:rPr>
              <w:t>2.</w:t>
            </w:r>
            <w:r w:rsidR="007A347F">
              <w:rPr>
                <w:rFonts w:ascii="Arial" w:hAnsi="Arial" w:cs="Arial"/>
                <w:sz w:val="22"/>
                <w:szCs w:val="22"/>
              </w:rPr>
              <w:t>251,85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Encarregado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CD6C44" w:rsidRPr="006C77C5">
              <w:rPr>
                <w:rFonts w:ascii="Arial" w:hAnsi="Arial" w:cs="Arial"/>
                <w:sz w:val="22"/>
                <w:szCs w:val="22"/>
              </w:rPr>
              <w:t>2.</w:t>
            </w:r>
            <w:r w:rsidR="007A347F">
              <w:rPr>
                <w:rFonts w:ascii="Arial" w:hAnsi="Arial" w:cs="Arial"/>
                <w:sz w:val="22"/>
                <w:szCs w:val="22"/>
              </w:rPr>
              <w:t>345,40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Ajudante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7A347F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       1.005,26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lastRenderedPageBreak/>
              <w:t>Vigia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   </w:t>
            </w:r>
            <w:r w:rsidR="00355BF4">
              <w:rPr>
                <w:rFonts w:ascii="Arial" w:hAnsi="Arial" w:cs="Arial"/>
                <w:sz w:val="22"/>
                <w:szCs w:val="22"/>
              </w:rPr>
              <w:t>9</w:t>
            </w:r>
            <w:r w:rsidR="007A347F">
              <w:rPr>
                <w:rFonts w:ascii="Arial" w:hAnsi="Arial" w:cs="Arial"/>
                <w:sz w:val="22"/>
                <w:szCs w:val="22"/>
              </w:rPr>
              <w:t>95,38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Servente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7A34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   </w:t>
            </w:r>
            <w:r w:rsidR="00355BF4">
              <w:rPr>
                <w:rFonts w:ascii="Arial" w:hAnsi="Arial" w:cs="Arial"/>
                <w:sz w:val="22"/>
                <w:szCs w:val="22"/>
              </w:rPr>
              <w:t>9</w:t>
            </w:r>
            <w:r w:rsidR="007A347F">
              <w:rPr>
                <w:rFonts w:ascii="Arial" w:hAnsi="Arial" w:cs="Arial"/>
                <w:sz w:val="22"/>
                <w:szCs w:val="22"/>
              </w:rPr>
              <w:t>95,38</w:t>
            </w:r>
          </w:p>
        </w:tc>
      </w:tr>
    </w:tbl>
    <w:p w:rsidR="00242ED4" w:rsidRDefault="00242ED4" w:rsidP="002F0B23">
      <w:pPr>
        <w:numPr>
          <w:ilvl w:val="0"/>
          <w:numId w:val="1"/>
        </w:numPr>
        <w:spacing w:before="24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</w:t>
      </w:r>
      <w:r w:rsidR="00FA15C7">
        <w:rPr>
          <w:rFonts w:ascii="Arial" w:hAnsi="Arial" w:cs="Arial"/>
          <w:sz w:val="22"/>
          <w:szCs w:val="22"/>
        </w:rPr>
        <w:t>E-mail recebido em 21/02/2019</w:t>
      </w:r>
      <w:r>
        <w:rPr>
          <w:rFonts w:ascii="Arial" w:hAnsi="Arial" w:cs="Arial"/>
          <w:sz w:val="22"/>
          <w:szCs w:val="22"/>
        </w:rPr>
        <w:t>, o SINDICOPES</w:t>
      </w:r>
      <w:r w:rsidR="005D3AF0">
        <w:rPr>
          <w:rFonts w:ascii="Arial" w:hAnsi="Arial" w:cs="Arial"/>
          <w:sz w:val="22"/>
          <w:szCs w:val="22"/>
        </w:rPr>
        <w:t xml:space="preserve"> nos</w:t>
      </w:r>
      <w:r>
        <w:rPr>
          <w:rFonts w:ascii="Arial" w:hAnsi="Arial" w:cs="Arial"/>
          <w:sz w:val="22"/>
          <w:szCs w:val="22"/>
        </w:rPr>
        <w:t xml:space="preserve"> informou que após o encerramento da vigência da CCT 2016/2017, os sindicatos dos trabalhadores e das empresas da Construção Pesada </w:t>
      </w:r>
      <w:r w:rsidR="00FA15C7">
        <w:rPr>
          <w:rFonts w:ascii="Arial" w:hAnsi="Arial" w:cs="Arial"/>
          <w:sz w:val="22"/>
          <w:szCs w:val="22"/>
        </w:rPr>
        <w:t>assinaram a Convenção Coletiva do Trabalho (CCT)</w:t>
      </w:r>
      <w:r w:rsidR="006215F4">
        <w:rPr>
          <w:rFonts w:ascii="Arial" w:hAnsi="Arial" w:cs="Arial"/>
          <w:sz w:val="22"/>
          <w:szCs w:val="22"/>
        </w:rPr>
        <w:t xml:space="preserve"> 2018/2020</w:t>
      </w:r>
      <w:r>
        <w:rPr>
          <w:rFonts w:ascii="Arial" w:hAnsi="Arial" w:cs="Arial"/>
          <w:sz w:val="22"/>
          <w:szCs w:val="22"/>
        </w:rPr>
        <w:t xml:space="preserve">. </w:t>
      </w:r>
      <w:r w:rsidR="00FA15C7">
        <w:rPr>
          <w:rFonts w:ascii="Arial" w:hAnsi="Arial" w:cs="Arial"/>
          <w:sz w:val="22"/>
          <w:szCs w:val="22"/>
        </w:rPr>
        <w:t xml:space="preserve">Portanto a partir desta </w:t>
      </w:r>
      <w:r w:rsidR="006215F4">
        <w:rPr>
          <w:rFonts w:ascii="Arial" w:hAnsi="Arial" w:cs="Arial"/>
          <w:sz w:val="22"/>
          <w:szCs w:val="22"/>
        </w:rPr>
        <w:t xml:space="preserve">data </w:t>
      </w:r>
      <w:r w:rsidR="00FA15C7">
        <w:rPr>
          <w:rFonts w:ascii="Arial" w:hAnsi="Arial" w:cs="Arial"/>
          <w:sz w:val="22"/>
          <w:szCs w:val="22"/>
        </w:rPr>
        <w:t>as empresas devem aplicar o reajuste e os benefícios negociados em convenção</w:t>
      </w:r>
      <w:r w:rsidR="005D3AF0">
        <w:rPr>
          <w:rFonts w:ascii="Arial" w:hAnsi="Arial" w:cs="Arial"/>
          <w:sz w:val="22"/>
          <w:szCs w:val="22"/>
        </w:rPr>
        <w:t>.</w:t>
      </w:r>
    </w:p>
    <w:p w:rsidR="007854D5" w:rsidRPr="00E4755E" w:rsidRDefault="00663586" w:rsidP="002F0B23">
      <w:pPr>
        <w:numPr>
          <w:ilvl w:val="0"/>
          <w:numId w:val="1"/>
        </w:numPr>
        <w:spacing w:before="24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 xml:space="preserve">Os valores correspondentes </w:t>
      </w:r>
      <w:r w:rsidR="000419C8" w:rsidRPr="00E4755E">
        <w:rPr>
          <w:rFonts w:ascii="Arial" w:hAnsi="Arial" w:cs="Arial"/>
          <w:sz w:val="22"/>
          <w:szCs w:val="22"/>
        </w:rPr>
        <w:t>à</w:t>
      </w:r>
      <w:r w:rsidRPr="00E4755E">
        <w:rPr>
          <w:rFonts w:ascii="Arial" w:hAnsi="Arial" w:cs="Arial"/>
          <w:sz w:val="22"/>
          <w:szCs w:val="22"/>
        </w:rPr>
        <w:t xml:space="preserve"> aquisição dos materiais, carga, transporte e descarga, quando não explicitados, estão incluídos nos preços unitários</w:t>
      </w:r>
      <w:r w:rsidR="004A7B7F">
        <w:rPr>
          <w:rFonts w:ascii="Arial" w:hAnsi="Arial" w:cs="Arial"/>
          <w:sz w:val="22"/>
          <w:szCs w:val="22"/>
        </w:rPr>
        <w:t>.</w:t>
      </w:r>
      <w:r w:rsidR="007854D5" w:rsidRPr="00E4755E">
        <w:tab/>
      </w:r>
    </w:p>
    <w:p w:rsidR="00761F48" w:rsidRPr="00E4755E" w:rsidRDefault="00761F48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 xml:space="preserve">Os itens que </w:t>
      </w:r>
      <w:r w:rsidR="0007096A" w:rsidRPr="00E4755E">
        <w:rPr>
          <w:rFonts w:ascii="Arial" w:hAnsi="Arial" w:cs="Arial"/>
          <w:sz w:val="22"/>
          <w:szCs w:val="22"/>
        </w:rPr>
        <w:t>apresentam</w:t>
      </w:r>
      <w:r w:rsidR="00A04F95" w:rsidRPr="00E4755E">
        <w:rPr>
          <w:rFonts w:ascii="Arial" w:hAnsi="Arial" w:cs="Arial"/>
          <w:sz w:val="22"/>
          <w:szCs w:val="22"/>
        </w:rPr>
        <w:t xml:space="preserve"> “</w:t>
      </w:r>
      <w:r w:rsidR="00BE2BEB" w:rsidRPr="00E4755E">
        <w:rPr>
          <w:rFonts w:ascii="Arial" w:hAnsi="Arial" w:cs="Arial"/>
          <w:sz w:val="22"/>
          <w:szCs w:val="22"/>
        </w:rPr>
        <w:t>A</w:t>
      </w:r>
      <w:r w:rsidR="00A04F95" w:rsidRPr="00E4755E">
        <w:rPr>
          <w:rFonts w:ascii="Arial" w:hAnsi="Arial" w:cs="Arial"/>
          <w:sz w:val="22"/>
          <w:szCs w:val="22"/>
        </w:rPr>
        <w:t xml:space="preserve"> incluir”</w:t>
      </w:r>
      <w:r w:rsidRPr="00E4755E">
        <w:rPr>
          <w:rFonts w:ascii="Arial" w:hAnsi="Arial" w:cs="Arial"/>
          <w:sz w:val="22"/>
          <w:szCs w:val="22"/>
        </w:rPr>
        <w:t xml:space="preserve"> na coluna </w:t>
      </w:r>
      <w:r w:rsidR="004778E3" w:rsidRPr="00E4755E">
        <w:rPr>
          <w:rFonts w:ascii="Arial" w:hAnsi="Arial" w:cs="Arial"/>
          <w:sz w:val="22"/>
          <w:szCs w:val="22"/>
        </w:rPr>
        <w:t>“</w:t>
      </w:r>
      <w:r w:rsidRPr="00E4755E">
        <w:rPr>
          <w:rFonts w:ascii="Arial" w:hAnsi="Arial" w:cs="Arial"/>
          <w:sz w:val="22"/>
          <w:szCs w:val="22"/>
        </w:rPr>
        <w:t>Transporte</w:t>
      </w:r>
      <w:r w:rsidR="004778E3" w:rsidRPr="00E4755E">
        <w:rPr>
          <w:rFonts w:ascii="Arial" w:hAnsi="Arial" w:cs="Arial"/>
          <w:sz w:val="22"/>
          <w:szCs w:val="22"/>
        </w:rPr>
        <w:t>”</w:t>
      </w:r>
      <w:r w:rsidR="00E2626F">
        <w:rPr>
          <w:rFonts w:ascii="Arial" w:hAnsi="Arial" w:cs="Arial"/>
          <w:sz w:val="22"/>
          <w:szCs w:val="22"/>
        </w:rPr>
        <w:t xml:space="preserve"> da tabela</w:t>
      </w:r>
      <w:r w:rsidRPr="00E4755E">
        <w:rPr>
          <w:rFonts w:ascii="Arial" w:hAnsi="Arial" w:cs="Arial"/>
          <w:sz w:val="22"/>
          <w:szCs w:val="22"/>
        </w:rPr>
        <w:t xml:space="preserve"> deverão ser acrescid</w:t>
      </w:r>
      <w:r w:rsidR="0007096A" w:rsidRPr="00E4755E">
        <w:rPr>
          <w:rFonts w:ascii="Arial" w:hAnsi="Arial" w:cs="Arial"/>
          <w:sz w:val="22"/>
          <w:szCs w:val="22"/>
        </w:rPr>
        <w:t>os</w:t>
      </w:r>
      <w:r w:rsidR="004778E3" w:rsidRPr="00E4755E">
        <w:rPr>
          <w:rFonts w:ascii="Arial" w:hAnsi="Arial" w:cs="Arial"/>
          <w:sz w:val="22"/>
          <w:szCs w:val="22"/>
        </w:rPr>
        <w:t xml:space="preserve"> </w:t>
      </w:r>
      <w:r w:rsidRPr="00E4755E">
        <w:rPr>
          <w:rFonts w:ascii="Arial" w:hAnsi="Arial" w:cs="Arial"/>
          <w:sz w:val="22"/>
          <w:szCs w:val="22"/>
        </w:rPr>
        <w:t xml:space="preserve">os custos </w:t>
      </w:r>
      <w:r w:rsidR="00BE2BEB" w:rsidRPr="00E4755E">
        <w:rPr>
          <w:rFonts w:ascii="Arial" w:hAnsi="Arial" w:cs="Arial"/>
          <w:sz w:val="22"/>
          <w:szCs w:val="22"/>
        </w:rPr>
        <w:t>d</w:t>
      </w:r>
      <w:r w:rsidRPr="00E4755E">
        <w:rPr>
          <w:rFonts w:ascii="Arial" w:hAnsi="Arial" w:cs="Arial"/>
          <w:sz w:val="22"/>
          <w:szCs w:val="22"/>
        </w:rPr>
        <w:t xml:space="preserve">o transporte dos </w:t>
      </w:r>
      <w:r w:rsidR="00BE2BEB" w:rsidRPr="00E4755E">
        <w:rPr>
          <w:rFonts w:ascii="Arial" w:hAnsi="Arial" w:cs="Arial"/>
          <w:sz w:val="22"/>
          <w:szCs w:val="22"/>
        </w:rPr>
        <w:t>insumos</w:t>
      </w:r>
      <w:r w:rsidR="004778E3" w:rsidRPr="00E4755E">
        <w:rPr>
          <w:rFonts w:ascii="Arial" w:hAnsi="Arial" w:cs="Arial"/>
          <w:sz w:val="22"/>
          <w:szCs w:val="22"/>
        </w:rPr>
        <w:t xml:space="preserve"> na elaboração do orçamento,</w:t>
      </w:r>
      <w:r w:rsidRPr="00E4755E">
        <w:rPr>
          <w:rFonts w:ascii="Arial" w:hAnsi="Arial" w:cs="Arial"/>
          <w:sz w:val="22"/>
          <w:szCs w:val="22"/>
        </w:rPr>
        <w:t xml:space="preserve"> </w:t>
      </w:r>
      <w:r w:rsidR="0007096A" w:rsidRPr="00E4755E">
        <w:rPr>
          <w:rFonts w:ascii="Arial" w:hAnsi="Arial" w:cs="Arial"/>
          <w:sz w:val="22"/>
          <w:szCs w:val="22"/>
        </w:rPr>
        <w:t>ocasião que</w:t>
      </w:r>
      <w:r w:rsidRPr="00E4755E">
        <w:rPr>
          <w:rFonts w:ascii="Arial" w:hAnsi="Arial" w:cs="Arial"/>
          <w:sz w:val="22"/>
          <w:szCs w:val="22"/>
        </w:rPr>
        <w:t xml:space="preserve"> serão informa</w:t>
      </w:r>
      <w:r w:rsidR="004A7B7F">
        <w:rPr>
          <w:rFonts w:ascii="Arial" w:hAnsi="Arial" w:cs="Arial"/>
          <w:sz w:val="22"/>
          <w:szCs w:val="22"/>
        </w:rPr>
        <w:t>das as distâncias de transporte.</w:t>
      </w:r>
    </w:p>
    <w:p w:rsidR="0068273C" w:rsidRPr="008E6EAE" w:rsidRDefault="0068273C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O valor do BDI</w:t>
      </w:r>
      <w:r w:rsidR="00EB5CB7" w:rsidRPr="008E6EAE">
        <w:rPr>
          <w:rFonts w:ascii="Arial" w:hAnsi="Arial" w:cs="Arial"/>
          <w:sz w:val="22"/>
          <w:szCs w:val="22"/>
        </w:rPr>
        <w:t xml:space="preserve"> dos serviços</w:t>
      </w:r>
      <w:r w:rsidRPr="008E6EAE">
        <w:rPr>
          <w:rFonts w:ascii="Arial" w:hAnsi="Arial" w:cs="Arial"/>
          <w:sz w:val="22"/>
          <w:szCs w:val="22"/>
        </w:rPr>
        <w:t xml:space="preserve"> está fixado em </w:t>
      </w:r>
      <w:r w:rsidR="00503170" w:rsidRPr="008E6EAE">
        <w:rPr>
          <w:rFonts w:ascii="Arial" w:hAnsi="Arial" w:cs="Arial"/>
          <w:sz w:val="22"/>
          <w:szCs w:val="22"/>
        </w:rPr>
        <w:t>23,32</w:t>
      </w:r>
      <w:r w:rsidRPr="008E6EAE">
        <w:rPr>
          <w:rFonts w:ascii="Arial" w:hAnsi="Arial" w:cs="Arial"/>
          <w:sz w:val="22"/>
          <w:szCs w:val="22"/>
        </w:rPr>
        <w:t>%</w:t>
      </w:r>
      <w:r w:rsidR="00220A82" w:rsidRPr="008E6EAE">
        <w:rPr>
          <w:rFonts w:ascii="Arial" w:hAnsi="Arial" w:cs="Arial"/>
          <w:sz w:val="22"/>
          <w:szCs w:val="22"/>
        </w:rPr>
        <w:t>, exclusive o percentual referente a administração local, que deverá fazer parte da planilha de despesas diretas</w:t>
      </w:r>
      <w:r w:rsidR="004A7B7F">
        <w:rPr>
          <w:rFonts w:ascii="Arial" w:hAnsi="Arial" w:cs="Arial"/>
          <w:sz w:val="22"/>
          <w:szCs w:val="22"/>
        </w:rPr>
        <w:t>.</w:t>
      </w:r>
      <w:r w:rsidRPr="008E6EAE">
        <w:rPr>
          <w:rFonts w:ascii="Arial" w:hAnsi="Arial" w:cs="Arial"/>
          <w:sz w:val="22"/>
          <w:szCs w:val="22"/>
        </w:rPr>
        <w:t xml:space="preserve"> </w:t>
      </w:r>
    </w:p>
    <w:p w:rsidR="00220A82" w:rsidRPr="008E6EAE" w:rsidRDefault="00220A82" w:rsidP="003C2A4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A incidência de encargos sociais e complemen</w:t>
      </w:r>
      <w:r w:rsidR="00083A07" w:rsidRPr="008E6EAE">
        <w:rPr>
          <w:rFonts w:ascii="Arial" w:hAnsi="Arial" w:cs="Arial"/>
          <w:sz w:val="22"/>
          <w:szCs w:val="22"/>
        </w:rPr>
        <w:t>tares adotada para mão de obra são</w:t>
      </w:r>
      <w:r w:rsidRPr="008E6EAE">
        <w:rPr>
          <w:rFonts w:ascii="Arial" w:hAnsi="Arial" w:cs="Arial"/>
          <w:sz w:val="22"/>
          <w:szCs w:val="22"/>
        </w:rPr>
        <w:t xml:space="preserve">: </w:t>
      </w:r>
    </w:p>
    <w:p w:rsidR="00220A82" w:rsidRPr="008E6EAE" w:rsidRDefault="00220A82" w:rsidP="00867A6A">
      <w:pPr>
        <w:numPr>
          <w:ilvl w:val="0"/>
          <w:numId w:val="8"/>
        </w:numPr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Horistas (Encargos Sociais e Complementares) = </w:t>
      </w:r>
      <w:r w:rsidR="00503170" w:rsidRPr="008E6EAE">
        <w:rPr>
          <w:rFonts w:ascii="Arial" w:hAnsi="Arial" w:cs="Arial"/>
          <w:sz w:val="22"/>
          <w:szCs w:val="22"/>
        </w:rPr>
        <w:t>157,27</w:t>
      </w:r>
      <w:r w:rsidRPr="008E6EAE">
        <w:rPr>
          <w:rFonts w:ascii="Arial" w:hAnsi="Arial" w:cs="Arial"/>
          <w:sz w:val="22"/>
          <w:szCs w:val="22"/>
        </w:rPr>
        <w:t>%</w:t>
      </w:r>
      <w:r w:rsidR="003435CA" w:rsidRPr="008E6EAE">
        <w:rPr>
          <w:rFonts w:ascii="Arial" w:hAnsi="Arial" w:cs="Arial"/>
          <w:sz w:val="22"/>
          <w:szCs w:val="22"/>
        </w:rPr>
        <w:t>;</w:t>
      </w:r>
    </w:p>
    <w:p w:rsidR="00220A82" w:rsidRPr="008E6EAE" w:rsidRDefault="00220A82" w:rsidP="00867A6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Mensalistas (Consultoria) = 84,04%</w:t>
      </w:r>
      <w:r w:rsidR="003C2A4C" w:rsidRPr="008E6EAE">
        <w:rPr>
          <w:rFonts w:ascii="Arial" w:hAnsi="Arial" w:cs="Arial"/>
          <w:sz w:val="22"/>
          <w:szCs w:val="22"/>
        </w:rPr>
        <w:t xml:space="preserve">, </w:t>
      </w:r>
      <w:r w:rsidR="00867A6A" w:rsidRPr="008E6EAE">
        <w:rPr>
          <w:rFonts w:ascii="Arial" w:hAnsi="Arial" w:cs="Arial"/>
          <w:sz w:val="22"/>
          <w:szCs w:val="22"/>
        </w:rPr>
        <w:t>conforme Instrução de</w:t>
      </w:r>
      <w:r w:rsidR="004A7B7F">
        <w:rPr>
          <w:rFonts w:ascii="Arial" w:hAnsi="Arial" w:cs="Arial"/>
          <w:sz w:val="22"/>
          <w:szCs w:val="22"/>
        </w:rPr>
        <w:t xml:space="preserve"> Serviço DG n.° 03/2012 do DNIT.</w:t>
      </w:r>
    </w:p>
    <w:p w:rsidR="004F52E6" w:rsidRPr="008E6EAE" w:rsidRDefault="0007096A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Nos itens referentes a </w:t>
      </w:r>
      <w:r w:rsidR="00761F48" w:rsidRPr="008E6EAE">
        <w:rPr>
          <w:rFonts w:ascii="Arial" w:hAnsi="Arial" w:cs="Arial"/>
          <w:sz w:val="22"/>
          <w:szCs w:val="22"/>
        </w:rPr>
        <w:t xml:space="preserve">Tabuleiros de ponte </w:t>
      </w:r>
      <w:r w:rsidRPr="008E6EAE">
        <w:rPr>
          <w:rFonts w:ascii="Arial" w:hAnsi="Arial" w:cs="Arial"/>
          <w:sz w:val="22"/>
          <w:szCs w:val="22"/>
        </w:rPr>
        <w:t xml:space="preserve">em </w:t>
      </w:r>
      <w:r w:rsidR="00761F48" w:rsidRPr="008E6EAE">
        <w:rPr>
          <w:rFonts w:ascii="Arial" w:hAnsi="Arial" w:cs="Arial"/>
          <w:sz w:val="22"/>
          <w:szCs w:val="22"/>
        </w:rPr>
        <w:t>viga</w:t>
      </w:r>
      <w:r w:rsidRPr="008E6EAE">
        <w:rPr>
          <w:rFonts w:ascii="Arial" w:hAnsi="Arial" w:cs="Arial"/>
          <w:sz w:val="22"/>
          <w:szCs w:val="22"/>
        </w:rPr>
        <w:t>s</w:t>
      </w:r>
      <w:r w:rsidR="00761F48" w:rsidRPr="008E6EAE">
        <w:rPr>
          <w:rFonts w:ascii="Arial" w:hAnsi="Arial" w:cs="Arial"/>
          <w:sz w:val="22"/>
          <w:szCs w:val="22"/>
        </w:rPr>
        <w:t xml:space="preserve"> pré-moldada</w:t>
      </w:r>
      <w:r w:rsidRPr="008E6EAE">
        <w:rPr>
          <w:rFonts w:ascii="Arial" w:hAnsi="Arial" w:cs="Arial"/>
          <w:sz w:val="22"/>
          <w:szCs w:val="22"/>
        </w:rPr>
        <w:t xml:space="preserve">s, estão considerados preços médios entre tabuleiro com laje entre vigas </w:t>
      </w:r>
      <w:r w:rsidR="004778E3" w:rsidRPr="008E6EAE">
        <w:rPr>
          <w:rFonts w:ascii="Arial" w:hAnsi="Arial" w:cs="Arial"/>
          <w:sz w:val="22"/>
          <w:szCs w:val="22"/>
        </w:rPr>
        <w:t>e tabuleiro</w:t>
      </w:r>
      <w:r w:rsidRPr="008E6EAE">
        <w:rPr>
          <w:rFonts w:ascii="Arial" w:hAnsi="Arial" w:cs="Arial"/>
          <w:sz w:val="22"/>
          <w:szCs w:val="22"/>
        </w:rPr>
        <w:t xml:space="preserve"> sem laje entre vigas</w:t>
      </w:r>
      <w:r w:rsidR="00585813" w:rsidRPr="008E6EAE">
        <w:rPr>
          <w:rFonts w:ascii="Arial" w:hAnsi="Arial" w:cs="Arial"/>
          <w:sz w:val="22"/>
          <w:szCs w:val="22"/>
        </w:rPr>
        <w:t>, de modo a atender mais de um fornecedor de vigas pré-moldadas</w:t>
      </w:r>
      <w:r w:rsidR="004778E3" w:rsidRPr="008E6EAE">
        <w:rPr>
          <w:rFonts w:ascii="Arial" w:hAnsi="Arial" w:cs="Arial"/>
          <w:sz w:val="22"/>
          <w:szCs w:val="22"/>
        </w:rPr>
        <w:t xml:space="preserve">, incluindo </w:t>
      </w:r>
      <w:r w:rsidR="004F52E6" w:rsidRPr="008E6EAE">
        <w:rPr>
          <w:rFonts w:ascii="Arial" w:hAnsi="Arial" w:cs="Arial"/>
          <w:sz w:val="22"/>
          <w:szCs w:val="22"/>
        </w:rPr>
        <w:t>de</w:t>
      </w:r>
      <w:r w:rsidR="004A7B7F">
        <w:rPr>
          <w:rFonts w:ascii="Arial" w:hAnsi="Arial" w:cs="Arial"/>
          <w:sz w:val="22"/>
          <w:szCs w:val="22"/>
        </w:rPr>
        <w:t>scarga e assentamento das vigas.</w:t>
      </w:r>
    </w:p>
    <w:p w:rsidR="002255F9" w:rsidRPr="008E6EAE" w:rsidRDefault="00712FFB" w:rsidP="00712FFB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No orçamento, o Material Betuminoso deverá ser apresentado em item específico e sobre o mesmo incidir a bonificação de 15,</w:t>
      </w:r>
      <w:r w:rsidR="00DE49F0">
        <w:rPr>
          <w:rFonts w:ascii="Arial" w:hAnsi="Arial" w:cs="Arial"/>
          <w:sz w:val="22"/>
          <w:szCs w:val="22"/>
        </w:rPr>
        <w:t>28%, calculado conforme</w:t>
      </w:r>
      <w:r w:rsidR="00DD2282">
        <w:rPr>
          <w:rFonts w:ascii="Arial" w:hAnsi="Arial" w:cs="Arial"/>
          <w:sz w:val="22"/>
          <w:szCs w:val="22"/>
        </w:rPr>
        <w:t xml:space="preserve"> os índices do BDI diferenciado da</w:t>
      </w:r>
      <w:r w:rsidR="00DE49F0">
        <w:rPr>
          <w:rFonts w:ascii="Arial" w:hAnsi="Arial" w:cs="Arial"/>
          <w:sz w:val="22"/>
          <w:szCs w:val="22"/>
        </w:rPr>
        <w:t xml:space="preserve"> Resolução SETOP Nº 01/2016</w:t>
      </w:r>
      <w:r w:rsidR="00DD2282">
        <w:rPr>
          <w:rFonts w:ascii="Arial" w:hAnsi="Arial" w:cs="Arial"/>
          <w:sz w:val="22"/>
          <w:szCs w:val="22"/>
        </w:rPr>
        <w:t>, exclusive a parcela referente à CPRB</w:t>
      </w:r>
      <w:r w:rsidR="004A7B7F">
        <w:rPr>
          <w:rFonts w:ascii="Arial" w:hAnsi="Arial" w:cs="Arial"/>
          <w:sz w:val="22"/>
          <w:szCs w:val="22"/>
        </w:rPr>
        <w:t>.</w:t>
      </w:r>
    </w:p>
    <w:p w:rsidR="006566BD" w:rsidRPr="008E6EAE" w:rsidRDefault="00CD6C44" w:rsidP="003A505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9167BF" w:rsidRPr="008E6EAE">
        <w:rPr>
          <w:rFonts w:ascii="Arial" w:hAnsi="Arial" w:cs="Arial"/>
          <w:sz w:val="22"/>
          <w:szCs w:val="22"/>
        </w:rPr>
        <w:t xml:space="preserve"> fórmula de transporte de materia</w:t>
      </w:r>
      <w:r>
        <w:rPr>
          <w:rFonts w:ascii="Arial" w:hAnsi="Arial" w:cs="Arial"/>
          <w:sz w:val="22"/>
          <w:szCs w:val="22"/>
        </w:rPr>
        <w:t>l</w:t>
      </w:r>
      <w:r w:rsidR="009167BF" w:rsidRPr="008E6EAE">
        <w:rPr>
          <w:rFonts w:ascii="Arial" w:hAnsi="Arial" w:cs="Arial"/>
          <w:sz w:val="22"/>
          <w:szCs w:val="22"/>
        </w:rPr>
        <w:t xml:space="preserve"> betuminoso </w:t>
      </w:r>
      <w:r>
        <w:rPr>
          <w:rFonts w:ascii="Arial" w:hAnsi="Arial" w:cs="Arial"/>
          <w:sz w:val="22"/>
          <w:szCs w:val="22"/>
        </w:rPr>
        <w:t>(</w:t>
      </w:r>
      <w:r w:rsidR="009167BF" w:rsidRPr="008E6EAE">
        <w:rPr>
          <w:rFonts w:ascii="Arial" w:hAnsi="Arial" w:cs="Arial"/>
          <w:sz w:val="22"/>
          <w:szCs w:val="22"/>
        </w:rPr>
        <w:t xml:space="preserve">quente </w:t>
      </w:r>
      <w:r>
        <w:rPr>
          <w:rFonts w:ascii="Arial" w:hAnsi="Arial" w:cs="Arial"/>
          <w:sz w:val="22"/>
          <w:szCs w:val="22"/>
        </w:rPr>
        <w:t>ou frio)</w:t>
      </w:r>
      <w:r w:rsidR="009167BF" w:rsidRPr="008E6EAE">
        <w:rPr>
          <w:rFonts w:ascii="Arial" w:hAnsi="Arial" w:cs="Arial"/>
          <w:sz w:val="22"/>
          <w:szCs w:val="22"/>
        </w:rPr>
        <w:t xml:space="preserve"> est</w:t>
      </w:r>
      <w:r>
        <w:rPr>
          <w:rFonts w:ascii="Arial" w:hAnsi="Arial" w:cs="Arial"/>
          <w:sz w:val="22"/>
          <w:szCs w:val="22"/>
        </w:rPr>
        <w:t>á</w:t>
      </w:r>
      <w:r w:rsidR="009167BF" w:rsidRPr="008E6EAE">
        <w:rPr>
          <w:rFonts w:ascii="Arial" w:hAnsi="Arial" w:cs="Arial"/>
          <w:sz w:val="22"/>
          <w:szCs w:val="22"/>
        </w:rPr>
        <w:t xml:space="preserve"> calculada de acordo com a </w:t>
      </w:r>
      <w:r>
        <w:rPr>
          <w:rFonts w:ascii="Arial" w:hAnsi="Arial" w:cs="Arial"/>
          <w:sz w:val="22"/>
          <w:szCs w:val="22"/>
        </w:rPr>
        <w:t xml:space="preserve">Portaria </w:t>
      </w:r>
      <w:r w:rsidR="00732A24">
        <w:rPr>
          <w:rFonts w:ascii="Arial" w:hAnsi="Arial" w:cs="Arial"/>
          <w:sz w:val="22"/>
          <w:szCs w:val="22"/>
        </w:rPr>
        <w:t>Nº</w:t>
      </w:r>
      <w:r w:rsidR="00967B3F">
        <w:rPr>
          <w:rFonts w:ascii="Arial" w:hAnsi="Arial" w:cs="Arial"/>
          <w:sz w:val="22"/>
          <w:szCs w:val="22"/>
        </w:rPr>
        <w:t xml:space="preserve"> </w:t>
      </w:r>
      <w:r w:rsidR="00706927">
        <w:rPr>
          <w:rFonts w:ascii="Arial" w:hAnsi="Arial" w:cs="Arial"/>
          <w:sz w:val="22"/>
          <w:szCs w:val="22"/>
        </w:rPr>
        <w:t>1.977 de 25</w:t>
      </w:r>
      <w:r w:rsidR="00732A24">
        <w:rPr>
          <w:rFonts w:ascii="Arial" w:hAnsi="Arial" w:cs="Arial"/>
          <w:sz w:val="22"/>
          <w:szCs w:val="22"/>
        </w:rPr>
        <w:t xml:space="preserve"> de </w:t>
      </w:r>
      <w:r w:rsidR="00706927">
        <w:rPr>
          <w:rFonts w:ascii="Arial" w:hAnsi="Arial" w:cs="Arial"/>
          <w:sz w:val="22"/>
          <w:szCs w:val="22"/>
        </w:rPr>
        <w:t>outubro de 2017</w:t>
      </w:r>
      <w:r w:rsidR="009167BF" w:rsidRPr="008E6EAE">
        <w:rPr>
          <w:rFonts w:ascii="Arial" w:hAnsi="Arial" w:cs="Arial"/>
          <w:sz w:val="22"/>
          <w:szCs w:val="22"/>
        </w:rPr>
        <w:t xml:space="preserve"> do DNIT</w:t>
      </w:r>
      <w:r w:rsidR="00B05E75">
        <w:rPr>
          <w:rFonts w:ascii="Arial" w:hAnsi="Arial" w:cs="Arial"/>
          <w:sz w:val="22"/>
          <w:szCs w:val="22"/>
        </w:rPr>
        <w:t>. Na Tabela Referencial, a fórmula está apresentada com o BDI diferenciado incluso</w:t>
      </w:r>
      <w:r w:rsidR="004A7B7F">
        <w:rPr>
          <w:rFonts w:ascii="Arial" w:hAnsi="Arial" w:cs="Arial"/>
          <w:sz w:val="22"/>
          <w:szCs w:val="22"/>
        </w:rPr>
        <w:t>.</w:t>
      </w:r>
    </w:p>
    <w:p w:rsidR="00505CDF" w:rsidRPr="008E6EAE" w:rsidRDefault="009167BF" w:rsidP="00505CDF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No Grupo “Instalação de canteiro, Mobilização e </w:t>
      </w:r>
      <w:r w:rsidR="00BE2BEB" w:rsidRPr="008E6EAE">
        <w:rPr>
          <w:rFonts w:ascii="Arial" w:hAnsi="Arial" w:cs="Arial"/>
          <w:sz w:val="22"/>
          <w:szCs w:val="22"/>
        </w:rPr>
        <w:t xml:space="preserve">Desmobilização de Equipamentos”, </w:t>
      </w:r>
      <w:r w:rsidRPr="008E6EAE">
        <w:rPr>
          <w:rFonts w:ascii="Arial" w:hAnsi="Arial" w:cs="Arial"/>
          <w:sz w:val="22"/>
          <w:szCs w:val="22"/>
        </w:rPr>
        <w:t>deverão ser especificad</w:t>
      </w:r>
      <w:r w:rsidR="00BE2BEB" w:rsidRPr="008E6EAE">
        <w:rPr>
          <w:rFonts w:ascii="Arial" w:hAnsi="Arial" w:cs="Arial"/>
          <w:sz w:val="22"/>
          <w:szCs w:val="22"/>
        </w:rPr>
        <w:t>a</w:t>
      </w:r>
      <w:r w:rsidRPr="008E6EAE">
        <w:rPr>
          <w:rFonts w:ascii="Arial" w:hAnsi="Arial" w:cs="Arial"/>
          <w:sz w:val="22"/>
          <w:szCs w:val="22"/>
        </w:rPr>
        <w:t>s no orçamento, todas as instalações</w:t>
      </w:r>
      <w:r w:rsidR="003E5480" w:rsidRPr="008E6EAE">
        <w:rPr>
          <w:rFonts w:ascii="Arial" w:hAnsi="Arial" w:cs="Arial"/>
          <w:sz w:val="22"/>
          <w:szCs w:val="22"/>
        </w:rPr>
        <w:t>, mobilizações e desmobilizações necessárias a obra</w:t>
      </w:r>
      <w:r w:rsidR="004A7B7F">
        <w:rPr>
          <w:rFonts w:ascii="Arial" w:hAnsi="Arial" w:cs="Arial"/>
          <w:sz w:val="22"/>
          <w:szCs w:val="22"/>
        </w:rPr>
        <w:t>.</w:t>
      </w:r>
    </w:p>
    <w:p w:rsidR="008E6EAE" w:rsidRPr="008E6EAE" w:rsidRDefault="008E6EAE" w:rsidP="000438D1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No Grupo “Administração Local”, deverá ser informado o valor total considerando o período da obra e o valor mensal previsto, obedecendo o limite máximo de 6,99% de acordo com Resolução SETOP – N.°02/2016</w:t>
      </w:r>
      <w:r w:rsidR="00DE49F0">
        <w:rPr>
          <w:rFonts w:ascii="Arial" w:hAnsi="Arial" w:cs="Arial"/>
          <w:sz w:val="22"/>
          <w:szCs w:val="22"/>
        </w:rPr>
        <w:t>, publicada no DIO – ES em 23 de fevereiro de 2016,</w:t>
      </w:r>
      <w:r w:rsidRPr="008E6EAE">
        <w:rPr>
          <w:rFonts w:ascii="Arial" w:hAnsi="Arial" w:cs="Arial"/>
          <w:sz w:val="22"/>
          <w:szCs w:val="22"/>
        </w:rPr>
        <w:t xml:space="preserve"> e seu pagamento será efetuado por percentual de avanço físico da obra. O valor mensal da Administração Local deverá ser detalhado</w:t>
      </w:r>
      <w:r w:rsidR="004A7B7F">
        <w:rPr>
          <w:rFonts w:ascii="Arial" w:hAnsi="Arial" w:cs="Arial"/>
          <w:sz w:val="22"/>
          <w:szCs w:val="22"/>
        </w:rPr>
        <w:t xml:space="preserve"> em planilha anexa ao orçamento.</w:t>
      </w:r>
    </w:p>
    <w:p w:rsidR="00E2302F" w:rsidRDefault="00FC5746" w:rsidP="000438D1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 </w:t>
      </w:r>
      <w:r w:rsidR="00505CDF" w:rsidRPr="008E6EAE">
        <w:rPr>
          <w:rFonts w:ascii="Arial" w:hAnsi="Arial" w:cs="Arial"/>
          <w:sz w:val="22"/>
          <w:szCs w:val="22"/>
        </w:rPr>
        <w:t xml:space="preserve">Na planilha de serviços de transporte: </w:t>
      </w:r>
    </w:p>
    <w:p w:rsidR="00505CDF" w:rsidRPr="008E6EAE" w:rsidRDefault="00505CDF" w:rsidP="00E2302F">
      <w:pPr>
        <w:spacing w:before="120"/>
        <w:ind w:left="2126"/>
        <w:jc w:val="both"/>
        <w:rPr>
          <w:rFonts w:ascii="Arial" w:hAnsi="Arial" w:cs="Arial"/>
          <w:sz w:val="22"/>
          <w:szCs w:val="22"/>
        </w:rPr>
      </w:pPr>
      <w:proofErr w:type="gramStart"/>
      <w:r w:rsidRPr="008E6EAE">
        <w:rPr>
          <w:rFonts w:ascii="Arial" w:hAnsi="Arial" w:cs="Arial"/>
          <w:sz w:val="22"/>
          <w:szCs w:val="22"/>
        </w:rPr>
        <w:t>x</w:t>
      </w:r>
      <w:proofErr w:type="gramEnd"/>
      <w:r w:rsidRPr="008E6EAE">
        <w:rPr>
          <w:rFonts w:ascii="Arial" w:hAnsi="Arial" w:cs="Arial"/>
          <w:sz w:val="22"/>
          <w:szCs w:val="22"/>
        </w:rPr>
        <w:t>1=XP= DMT em Km (rodovia pavimentada)</w:t>
      </w:r>
    </w:p>
    <w:p w:rsidR="00505CDF" w:rsidRPr="008E6EAE" w:rsidRDefault="00505CDF" w:rsidP="00E2302F">
      <w:pPr>
        <w:spacing w:before="120"/>
        <w:ind w:left="2126"/>
        <w:jc w:val="both"/>
        <w:rPr>
          <w:rFonts w:ascii="Arial" w:hAnsi="Arial" w:cs="Arial"/>
          <w:sz w:val="22"/>
          <w:szCs w:val="22"/>
        </w:rPr>
      </w:pPr>
      <w:proofErr w:type="gramStart"/>
      <w:r w:rsidRPr="008E6EAE">
        <w:rPr>
          <w:rFonts w:ascii="Arial" w:hAnsi="Arial" w:cs="Arial"/>
          <w:sz w:val="22"/>
          <w:szCs w:val="22"/>
        </w:rPr>
        <w:t>x</w:t>
      </w:r>
      <w:proofErr w:type="gramEnd"/>
      <w:r w:rsidRPr="008E6EAE">
        <w:rPr>
          <w:rFonts w:ascii="Arial" w:hAnsi="Arial" w:cs="Arial"/>
          <w:sz w:val="22"/>
          <w:szCs w:val="22"/>
        </w:rPr>
        <w:t>2=XR= DMT em Km (rodovia não pavimentada)</w:t>
      </w:r>
    </w:p>
    <w:p w:rsidR="00F66EFE" w:rsidRDefault="00F66EFE" w:rsidP="00505CDF">
      <w:pPr>
        <w:spacing w:before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E2302F" w:rsidRDefault="00E2302F" w:rsidP="00505CDF">
      <w:pPr>
        <w:spacing w:before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EB5CB7" w:rsidRPr="002255F9" w:rsidRDefault="00EB5CB7" w:rsidP="00EB5C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 Equipe de Custos e Orçamentos </w:t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  <w:t xml:space="preserve">              Gerência de Projetos e </w:t>
      </w:r>
      <w:r w:rsidR="00732A24">
        <w:rPr>
          <w:rFonts w:ascii="Arial" w:hAnsi="Arial" w:cs="Arial"/>
          <w:sz w:val="22"/>
          <w:szCs w:val="22"/>
        </w:rPr>
        <w:t>Orçamentos</w:t>
      </w:r>
      <w:r w:rsidRPr="002255F9">
        <w:rPr>
          <w:rFonts w:ascii="Arial" w:hAnsi="Arial" w:cs="Arial"/>
          <w:sz w:val="22"/>
          <w:szCs w:val="22"/>
        </w:rPr>
        <w:t xml:space="preserve"> </w:t>
      </w:r>
    </w:p>
    <w:p w:rsidR="00EB5CB7" w:rsidRPr="002255F9" w:rsidRDefault="00EB5CB7" w:rsidP="00EB5C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Tel.: (27) 3636-4455 </w:t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  <w:t>Tel.: (27) 3636-44</w:t>
      </w:r>
      <w:r w:rsidR="00732A24">
        <w:rPr>
          <w:rFonts w:ascii="Arial" w:hAnsi="Arial" w:cs="Arial"/>
          <w:sz w:val="22"/>
          <w:szCs w:val="22"/>
        </w:rPr>
        <w:t>17</w:t>
      </w:r>
    </w:p>
    <w:p w:rsidR="00E2626F" w:rsidRDefault="00E2626F" w:rsidP="00EB5C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2302F" w:rsidRPr="002255F9" w:rsidRDefault="00E2302F" w:rsidP="00EB5C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F11DA" w:rsidRPr="002255F9" w:rsidRDefault="00EB5CB7" w:rsidP="00F66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Diretoria de </w:t>
      </w:r>
      <w:r w:rsidR="00F401C6">
        <w:rPr>
          <w:rFonts w:ascii="Arial" w:hAnsi="Arial" w:cs="Arial"/>
          <w:sz w:val="22"/>
          <w:szCs w:val="22"/>
        </w:rPr>
        <w:t>Engenharia</w:t>
      </w:r>
    </w:p>
    <w:sectPr w:rsidR="00FF11DA" w:rsidRPr="002255F9" w:rsidSect="00AE0116">
      <w:headerReference w:type="default" r:id="rId9"/>
      <w:type w:val="continuous"/>
      <w:pgSz w:w="11907" w:h="16840" w:code="9"/>
      <w:pgMar w:top="993" w:right="1327" w:bottom="709" w:left="1560" w:header="720" w:footer="5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7F" w:rsidRDefault="004A7B7F" w:rsidP="003E5480">
      <w:r>
        <w:separator/>
      </w:r>
    </w:p>
  </w:endnote>
  <w:endnote w:type="continuationSeparator" w:id="0">
    <w:p w:rsidR="004A7B7F" w:rsidRDefault="004A7B7F" w:rsidP="003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7F" w:rsidRDefault="004A7B7F" w:rsidP="003E5480">
      <w:r>
        <w:separator/>
      </w:r>
    </w:p>
  </w:footnote>
  <w:footnote w:type="continuationSeparator" w:id="0">
    <w:p w:rsidR="004A7B7F" w:rsidRDefault="004A7B7F" w:rsidP="003E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7F" w:rsidRDefault="004A7B7F" w:rsidP="00AE0116">
    <w:pPr>
      <w:pStyle w:val="Cabealho"/>
      <w:ind w:left="360"/>
      <w:jc w:val="center"/>
    </w:pPr>
    <w:r>
      <w:rPr>
        <w:noProof/>
      </w:rPr>
      <w:drawing>
        <wp:inline distT="0" distB="0" distL="0" distR="0">
          <wp:extent cx="1009650" cy="8509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970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7B7F" w:rsidRPr="004F5558" w:rsidRDefault="004A7B7F" w:rsidP="00AE0116">
    <w:pPr>
      <w:pStyle w:val="Cabealho"/>
      <w:spacing w:before="0" w:beforeAutospacing="0"/>
      <w:ind w:left="360"/>
      <w:jc w:val="center"/>
      <w:rPr>
        <w:sz w:val="16"/>
        <w:szCs w:val="16"/>
      </w:rPr>
    </w:pPr>
    <w:r w:rsidRPr="004F5558">
      <w:rPr>
        <w:sz w:val="16"/>
        <w:szCs w:val="16"/>
      </w:rPr>
      <w:t>Departamento de Estradas de Rodagem</w:t>
    </w:r>
  </w:p>
  <w:p w:rsidR="004A7B7F" w:rsidRPr="004F5558" w:rsidRDefault="004A7B7F" w:rsidP="00AE0116">
    <w:pPr>
      <w:pStyle w:val="Cabealho"/>
      <w:spacing w:before="0" w:beforeAutospacing="0"/>
      <w:ind w:left="360"/>
      <w:jc w:val="center"/>
      <w:rPr>
        <w:sz w:val="16"/>
        <w:szCs w:val="16"/>
      </w:rPr>
    </w:pPr>
    <w:proofErr w:type="gramStart"/>
    <w:r w:rsidRPr="004F5558">
      <w:rPr>
        <w:sz w:val="16"/>
        <w:szCs w:val="16"/>
      </w:rPr>
      <w:t>do</w:t>
    </w:r>
    <w:proofErr w:type="gramEnd"/>
    <w:r w:rsidRPr="004F5558">
      <w:rPr>
        <w:sz w:val="16"/>
        <w:szCs w:val="16"/>
      </w:rPr>
      <w:t xml:space="preserve"> Estado do Espírito Santo</w:t>
    </w:r>
  </w:p>
  <w:p w:rsidR="004A7B7F" w:rsidRDefault="004A7B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A50"/>
    <w:multiLevelType w:val="multilevel"/>
    <w:tmpl w:val="978C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96C02"/>
    <w:multiLevelType w:val="hybridMultilevel"/>
    <w:tmpl w:val="64CC49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D156F"/>
    <w:multiLevelType w:val="multilevel"/>
    <w:tmpl w:val="D0B0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404EDF"/>
    <w:multiLevelType w:val="multilevel"/>
    <w:tmpl w:val="978C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8024C4"/>
    <w:multiLevelType w:val="hybridMultilevel"/>
    <w:tmpl w:val="7D324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D4583"/>
    <w:multiLevelType w:val="multilevel"/>
    <w:tmpl w:val="CC0C9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430F22"/>
    <w:multiLevelType w:val="multilevel"/>
    <w:tmpl w:val="D0B0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87209D"/>
    <w:multiLevelType w:val="hybridMultilevel"/>
    <w:tmpl w:val="37483E5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6"/>
    <w:rsid w:val="000053E4"/>
    <w:rsid w:val="0001434C"/>
    <w:rsid w:val="0003030D"/>
    <w:rsid w:val="0003206D"/>
    <w:rsid w:val="000419C8"/>
    <w:rsid w:val="00041A4C"/>
    <w:rsid w:val="000438D1"/>
    <w:rsid w:val="0007096A"/>
    <w:rsid w:val="00072C00"/>
    <w:rsid w:val="00073B95"/>
    <w:rsid w:val="00083082"/>
    <w:rsid w:val="00083A07"/>
    <w:rsid w:val="000B3574"/>
    <w:rsid w:val="000C508C"/>
    <w:rsid w:val="000F3F96"/>
    <w:rsid w:val="00150E45"/>
    <w:rsid w:val="001620DA"/>
    <w:rsid w:val="0017559E"/>
    <w:rsid w:val="001D5D46"/>
    <w:rsid w:val="00220A82"/>
    <w:rsid w:val="002255F9"/>
    <w:rsid w:val="00242ED4"/>
    <w:rsid w:val="002D71E6"/>
    <w:rsid w:val="002E745F"/>
    <w:rsid w:val="002F0B23"/>
    <w:rsid w:val="003038CB"/>
    <w:rsid w:val="0032073D"/>
    <w:rsid w:val="003279A1"/>
    <w:rsid w:val="003435CA"/>
    <w:rsid w:val="00344474"/>
    <w:rsid w:val="003554CE"/>
    <w:rsid w:val="00355BF4"/>
    <w:rsid w:val="003560F1"/>
    <w:rsid w:val="003908A2"/>
    <w:rsid w:val="003A5057"/>
    <w:rsid w:val="003C2A4C"/>
    <w:rsid w:val="003C6120"/>
    <w:rsid w:val="003D0F6C"/>
    <w:rsid w:val="003D3260"/>
    <w:rsid w:val="003E5480"/>
    <w:rsid w:val="003F40D0"/>
    <w:rsid w:val="00406367"/>
    <w:rsid w:val="00410031"/>
    <w:rsid w:val="00450876"/>
    <w:rsid w:val="00463E9B"/>
    <w:rsid w:val="004778E3"/>
    <w:rsid w:val="004A4EE2"/>
    <w:rsid w:val="004A7B7F"/>
    <w:rsid w:val="004E2E82"/>
    <w:rsid w:val="004F52E6"/>
    <w:rsid w:val="00503170"/>
    <w:rsid w:val="00505CDF"/>
    <w:rsid w:val="005727B7"/>
    <w:rsid w:val="00580A19"/>
    <w:rsid w:val="00585297"/>
    <w:rsid w:val="00585813"/>
    <w:rsid w:val="00586B44"/>
    <w:rsid w:val="005B3B54"/>
    <w:rsid w:val="005D3AF0"/>
    <w:rsid w:val="005E45C6"/>
    <w:rsid w:val="005E4CF8"/>
    <w:rsid w:val="006139EB"/>
    <w:rsid w:val="006215F4"/>
    <w:rsid w:val="00630607"/>
    <w:rsid w:val="006566BD"/>
    <w:rsid w:val="00663586"/>
    <w:rsid w:val="0066459D"/>
    <w:rsid w:val="0068273C"/>
    <w:rsid w:val="006855A4"/>
    <w:rsid w:val="006C6FDD"/>
    <w:rsid w:val="006C77C5"/>
    <w:rsid w:val="006E3B29"/>
    <w:rsid w:val="00702690"/>
    <w:rsid w:val="00706927"/>
    <w:rsid w:val="00712FFB"/>
    <w:rsid w:val="00713051"/>
    <w:rsid w:val="00732A24"/>
    <w:rsid w:val="00761F48"/>
    <w:rsid w:val="00776A84"/>
    <w:rsid w:val="007854D5"/>
    <w:rsid w:val="00796928"/>
    <w:rsid w:val="007A347F"/>
    <w:rsid w:val="007B7327"/>
    <w:rsid w:val="007D6156"/>
    <w:rsid w:val="0080408B"/>
    <w:rsid w:val="00805018"/>
    <w:rsid w:val="008421EA"/>
    <w:rsid w:val="00867A6A"/>
    <w:rsid w:val="008854AA"/>
    <w:rsid w:val="008865DE"/>
    <w:rsid w:val="008B152F"/>
    <w:rsid w:val="008B2278"/>
    <w:rsid w:val="008C604F"/>
    <w:rsid w:val="008E48EC"/>
    <w:rsid w:val="008E6EAE"/>
    <w:rsid w:val="008F2F38"/>
    <w:rsid w:val="009109F0"/>
    <w:rsid w:val="009167BF"/>
    <w:rsid w:val="00952C16"/>
    <w:rsid w:val="00967B3F"/>
    <w:rsid w:val="009A0AA3"/>
    <w:rsid w:val="00A00494"/>
    <w:rsid w:val="00A04F95"/>
    <w:rsid w:val="00A45EBB"/>
    <w:rsid w:val="00A53552"/>
    <w:rsid w:val="00A6496E"/>
    <w:rsid w:val="00AA16C9"/>
    <w:rsid w:val="00AC7431"/>
    <w:rsid w:val="00AE0116"/>
    <w:rsid w:val="00B05E75"/>
    <w:rsid w:val="00B44657"/>
    <w:rsid w:val="00B934C4"/>
    <w:rsid w:val="00BE2BEB"/>
    <w:rsid w:val="00C226D4"/>
    <w:rsid w:val="00C24FC4"/>
    <w:rsid w:val="00C34D2D"/>
    <w:rsid w:val="00C37DB6"/>
    <w:rsid w:val="00C81FB7"/>
    <w:rsid w:val="00CD6C44"/>
    <w:rsid w:val="00CF5EC3"/>
    <w:rsid w:val="00D01F64"/>
    <w:rsid w:val="00D130CF"/>
    <w:rsid w:val="00D4295A"/>
    <w:rsid w:val="00D565D2"/>
    <w:rsid w:val="00D56ABE"/>
    <w:rsid w:val="00D7266D"/>
    <w:rsid w:val="00DB7D90"/>
    <w:rsid w:val="00DC325A"/>
    <w:rsid w:val="00DD2282"/>
    <w:rsid w:val="00DE49F0"/>
    <w:rsid w:val="00E069BD"/>
    <w:rsid w:val="00E10FDC"/>
    <w:rsid w:val="00E2302F"/>
    <w:rsid w:val="00E25745"/>
    <w:rsid w:val="00E2626F"/>
    <w:rsid w:val="00E4755E"/>
    <w:rsid w:val="00EB2240"/>
    <w:rsid w:val="00EB5CB7"/>
    <w:rsid w:val="00ED0293"/>
    <w:rsid w:val="00F0470B"/>
    <w:rsid w:val="00F16B4D"/>
    <w:rsid w:val="00F24EC3"/>
    <w:rsid w:val="00F401C6"/>
    <w:rsid w:val="00F42542"/>
    <w:rsid w:val="00F47768"/>
    <w:rsid w:val="00F66EFE"/>
    <w:rsid w:val="00F85977"/>
    <w:rsid w:val="00FA15C7"/>
    <w:rsid w:val="00FA3569"/>
    <w:rsid w:val="00FB247F"/>
    <w:rsid w:val="00FC5746"/>
    <w:rsid w:val="00FD4760"/>
    <w:rsid w:val="00FE0453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AD36E0F4-34D4-44FE-B421-E760E43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C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434C"/>
    <w:pPr>
      <w:tabs>
        <w:tab w:val="center" w:pos="4419"/>
        <w:tab w:val="right" w:pos="8838"/>
      </w:tabs>
      <w:spacing w:before="100" w:beforeAutospacing="1"/>
      <w:jc w:val="both"/>
    </w:pPr>
    <w:rPr>
      <w:rFonts w:ascii="Arial" w:hAnsi="Arial"/>
      <w:szCs w:val="20"/>
    </w:rPr>
  </w:style>
  <w:style w:type="paragraph" w:styleId="Rodap">
    <w:name w:val="footer"/>
    <w:basedOn w:val="Normal"/>
    <w:link w:val="RodapChar"/>
    <w:rsid w:val="003E54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E5480"/>
    <w:rPr>
      <w:sz w:val="24"/>
      <w:szCs w:val="24"/>
    </w:rPr>
  </w:style>
  <w:style w:type="paragraph" w:customStyle="1" w:styleId="Default">
    <w:name w:val="Default"/>
    <w:rsid w:val="00FA3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859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8597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F0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802C-25D1-4DC4-93FC-76935559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732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DE PREÇOS DE SERVIÇOS RODOVIÁRIOS</vt:lpstr>
    </vt:vector>
  </TitlesOfParts>
  <Company>DERTES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DE PREÇOS DE SERVIÇOS RODOVIÁRIOS</dc:title>
  <dc:creator>DERTES</dc:creator>
  <cp:lastModifiedBy>Orçamento</cp:lastModifiedBy>
  <cp:revision>14</cp:revision>
  <cp:lastPrinted>2018-07-24T12:21:00Z</cp:lastPrinted>
  <dcterms:created xsi:type="dcterms:W3CDTF">2018-07-23T18:09:00Z</dcterms:created>
  <dcterms:modified xsi:type="dcterms:W3CDTF">2019-06-11T19:23:00Z</dcterms:modified>
</cp:coreProperties>
</file>